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4E" w:rsidRPr="00406E83" w:rsidRDefault="009B0D4E" w:rsidP="009B0D4E">
      <w:pPr>
        <w:rPr>
          <w:b/>
          <w:sz w:val="36"/>
          <w:lang w:val="en-GB"/>
        </w:rPr>
      </w:pPr>
      <w:r w:rsidRPr="00406E83">
        <w:rPr>
          <w:b/>
          <w:sz w:val="36"/>
          <w:lang w:val="en-GB"/>
        </w:rPr>
        <w:t>Springboard exceeded its goals</w:t>
      </w:r>
    </w:p>
    <w:p w:rsidR="009B0D4E" w:rsidRPr="00406E83" w:rsidRDefault="009B0D4E" w:rsidP="009B0D4E">
      <w:pPr>
        <w:rPr>
          <w:b/>
          <w:sz w:val="24"/>
          <w:lang w:val="en-GB"/>
        </w:rPr>
      </w:pPr>
      <w:r w:rsidRPr="00406E83">
        <w:rPr>
          <w:b/>
          <w:sz w:val="24"/>
          <w:lang w:val="en-GB"/>
        </w:rPr>
        <w:t>The Central Baltic Springboard joint project with Riga, Tallinn and Turku is coming to an end. During the last two years there has been cross-border mentoring, meetings</w:t>
      </w:r>
      <w:r>
        <w:rPr>
          <w:b/>
          <w:sz w:val="24"/>
          <w:lang w:val="en-GB"/>
        </w:rPr>
        <w:t>,</w:t>
      </w:r>
      <w:r w:rsidRPr="00406E83">
        <w:rPr>
          <w:b/>
          <w:sz w:val="24"/>
          <w:lang w:val="en-GB"/>
        </w:rPr>
        <w:t xml:space="preserve"> and exchanging of ideas to give dozens of start-ups a new platform for accelerating their growth. The results indicate that the goals set were achieved.</w:t>
      </w:r>
    </w:p>
    <w:p w:rsidR="009B0D4E" w:rsidRPr="009B0D4E" w:rsidRDefault="009B0D4E" w:rsidP="009B0D4E">
      <w:pPr>
        <w:spacing w:line="252" w:lineRule="auto"/>
        <w:rPr>
          <w:lang w:val="en-GB"/>
        </w:rPr>
      </w:pPr>
      <w:r w:rsidRPr="00406E83">
        <w:rPr>
          <w:lang w:val="en-GB"/>
        </w:rPr>
        <w:t xml:space="preserve">The Central Baltic Springboard project started in late 2015. The consortium included a university and a </w:t>
      </w:r>
      <w:r w:rsidRPr="009B0D4E">
        <w:rPr>
          <w:lang w:val="en-GB"/>
        </w:rPr>
        <w:t xml:space="preserve">developer organisation from the cities of Turku, Tallinn and Riga, six partners in total. The partners from </w:t>
      </w:r>
      <w:r w:rsidRPr="009B0D4E">
        <w:rPr>
          <w:lang w:val="en-GB"/>
        </w:rPr>
        <w:t>Latvia</w:t>
      </w:r>
      <w:r w:rsidRPr="009B0D4E">
        <w:rPr>
          <w:lang w:val="en-GB"/>
        </w:rPr>
        <w:t xml:space="preserve"> were </w:t>
      </w:r>
      <w:r w:rsidRPr="009B0D4E">
        <w:rPr>
          <w:lang w:val="en-GB"/>
        </w:rPr>
        <w:t xml:space="preserve">Riga Technical </w:t>
      </w:r>
      <w:r>
        <w:rPr>
          <w:lang w:val="en-GB"/>
        </w:rPr>
        <w:t>U</w:t>
      </w:r>
      <w:r w:rsidRPr="009B0D4E">
        <w:rPr>
          <w:lang w:val="en-GB"/>
        </w:rPr>
        <w:t xml:space="preserve">niversity </w:t>
      </w:r>
      <w:r w:rsidRPr="009B0D4E">
        <w:rPr>
          <w:lang w:val="en-GB"/>
        </w:rPr>
        <w:t>and</w:t>
      </w:r>
      <w:r w:rsidRPr="009B0D4E">
        <w:rPr>
          <w:lang w:val="en-GB"/>
        </w:rPr>
        <w:t xml:space="preserve"> Latvia Technology </w:t>
      </w:r>
      <w:proofErr w:type="gramStart"/>
      <w:r w:rsidRPr="009B0D4E">
        <w:rPr>
          <w:lang w:val="en-GB"/>
        </w:rPr>
        <w:t>park</w:t>
      </w:r>
      <w:proofErr w:type="gramEnd"/>
      <w:r w:rsidRPr="009B0D4E">
        <w:rPr>
          <w:lang w:val="en-GB"/>
        </w:rPr>
        <w:t xml:space="preserve">. </w:t>
      </w:r>
    </w:p>
    <w:p w:rsidR="009B0D4E" w:rsidRPr="00406E83" w:rsidRDefault="009B0D4E" w:rsidP="009B0D4E">
      <w:pPr>
        <w:spacing w:line="252" w:lineRule="auto"/>
        <w:rPr>
          <w:lang w:val="en-GB"/>
        </w:rPr>
      </w:pPr>
      <w:r w:rsidRPr="009B0D4E">
        <w:rPr>
          <w:lang w:val="en-GB"/>
        </w:rPr>
        <w:t>”81 teams with 179 team members in three cities participated in the project. We supported the creation of a total of 18 registered cross-border co-operative companies, four of which were joint companies. These numbers show that we succeeded in increasing the cross-border collaboration of start-ups and business development organisations in Turku, Tallinn and Riga”, says Project Manager Johan</w:t>
      </w:r>
      <w:bookmarkStart w:id="0" w:name="_GoBack"/>
      <w:bookmarkEnd w:id="0"/>
      <w:r w:rsidRPr="009B0D4E">
        <w:rPr>
          <w:lang w:val="en-GB"/>
        </w:rPr>
        <w:t>na Puhtila from Turku Science Park Ltd, the lead partner of the project.</w:t>
      </w:r>
    </w:p>
    <w:p w:rsidR="009B0D4E" w:rsidRPr="00406E83" w:rsidRDefault="009B0D4E" w:rsidP="009B0D4E">
      <w:pPr>
        <w:spacing w:line="252" w:lineRule="auto"/>
        <w:rPr>
          <w:lang w:val="en-GB"/>
        </w:rPr>
      </w:pPr>
      <w:r w:rsidRPr="00406E83">
        <w:rPr>
          <w:lang w:val="en-GB"/>
        </w:rPr>
        <w:t>Local markets in Finland, Estonia and Latvia are limited and the idea of a start-up is to be scalable.</w:t>
      </w:r>
    </w:p>
    <w:p w:rsidR="009B0D4E" w:rsidRPr="00406E83" w:rsidRDefault="009B0D4E" w:rsidP="009B0D4E">
      <w:pPr>
        <w:spacing w:line="252" w:lineRule="auto"/>
        <w:rPr>
          <w:lang w:val="en-GB"/>
        </w:rPr>
      </w:pPr>
      <w:r w:rsidRPr="00406E83">
        <w:rPr>
          <w:lang w:val="en-GB"/>
        </w:rPr>
        <w:t>“There is need for global thinking, international networking and encouragement for developing a business to make it internationally successful. That’s why we set up this international project and applied for financing from the EU’s Central Baltic Programme</w:t>
      </w:r>
      <w:r w:rsidRPr="00406E83">
        <w:rPr>
          <w:rStyle w:val="Strong"/>
          <w:iCs/>
          <w:lang w:val="en-GB"/>
        </w:rPr>
        <w:t>. As the project is now close to completion, it</w:t>
      </w:r>
      <w:r>
        <w:rPr>
          <w:rStyle w:val="Strong"/>
          <w:iCs/>
          <w:lang w:val="en-GB"/>
        </w:rPr>
        <w:t>’</w:t>
      </w:r>
      <w:r w:rsidRPr="00406E83">
        <w:rPr>
          <w:rStyle w:val="Strong"/>
          <w:iCs/>
          <w:lang w:val="en-GB"/>
        </w:rPr>
        <w:t xml:space="preserve">s great to see that the participants made the most of it. </w:t>
      </w:r>
      <w:r>
        <w:rPr>
          <w:rStyle w:val="Strong"/>
          <w:iCs/>
          <w:lang w:val="en-GB"/>
        </w:rPr>
        <w:t>W</w:t>
      </w:r>
      <w:r w:rsidRPr="00406E83">
        <w:rPr>
          <w:rStyle w:val="Strong"/>
          <w:iCs/>
          <w:lang w:val="en-GB"/>
        </w:rPr>
        <w:t xml:space="preserve">e had a total </w:t>
      </w:r>
      <w:r w:rsidRPr="009B0D4E">
        <w:rPr>
          <w:rStyle w:val="Strong"/>
          <w:iCs/>
          <w:lang w:val="en-GB"/>
        </w:rPr>
        <w:t xml:space="preserve">of </w:t>
      </w:r>
      <w:r>
        <w:rPr>
          <w:rStyle w:val="Strong"/>
          <w:iCs/>
          <w:lang w:val="en-GB"/>
        </w:rPr>
        <w:t>81</w:t>
      </w:r>
      <w:r w:rsidRPr="009B0D4E">
        <w:rPr>
          <w:rStyle w:val="Strong"/>
          <w:iCs/>
          <w:lang w:val="en-GB"/>
        </w:rPr>
        <w:t xml:space="preserve"> teams</w:t>
      </w:r>
      <w:r w:rsidRPr="00406E83">
        <w:rPr>
          <w:rStyle w:val="Strong"/>
          <w:iCs/>
          <w:lang w:val="en-GB"/>
        </w:rPr>
        <w:t xml:space="preserve"> in three 10-week programmes. And there were more </w:t>
      </w:r>
      <w:r>
        <w:rPr>
          <w:rStyle w:val="Strong"/>
          <w:iCs/>
          <w:lang w:val="en-GB"/>
        </w:rPr>
        <w:t>interested</w:t>
      </w:r>
      <w:r w:rsidRPr="00406E83">
        <w:rPr>
          <w:rStyle w:val="Strong"/>
          <w:iCs/>
          <w:lang w:val="en-GB"/>
        </w:rPr>
        <w:t xml:space="preserve"> companies for each programme than we could accept</w:t>
      </w:r>
      <w:r w:rsidRPr="009B0D4E">
        <w:rPr>
          <w:rStyle w:val="Strong"/>
          <w:iCs/>
          <w:lang w:val="en-GB"/>
        </w:rPr>
        <w:t>”, Johanna Puhtila</w:t>
      </w:r>
      <w:r w:rsidRPr="00406E83">
        <w:rPr>
          <w:rStyle w:val="Strong"/>
          <w:iCs/>
          <w:lang w:val="en-GB"/>
        </w:rPr>
        <w:t xml:space="preserve"> says.</w:t>
      </w:r>
    </w:p>
    <w:p w:rsidR="009B0D4E" w:rsidRPr="00406E83" w:rsidRDefault="009B0D4E" w:rsidP="009B0D4E">
      <w:pPr>
        <w:spacing w:line="252" w:lineRule="auto"/>
        <w:rPr>
          <w:lang w:val="en-GB"/>
        </w:rPr>
      </w:pPr>
      <w:r w:rsidRPr="00406E83">
        <w:rPr>
          <w:lang w:val="en-GB"/>
        </w:rPr>
        <w:t xml:space="preserve">According to </w:t>
      </w:r>
      <w:r w:rsidRPr="00406E83">
        <w:rPr>
          <w:b/>
          <w:lang w:val="en-GB"/>
        </w:rPr>
        <w:t>Ville Nikola</w:t>
      </w:r>
      <w:r w:rsidRPr="00406E83">
        <w:rPr>
          <w:lang w:val="en-GB"/>
        </w:rPr>
        <w:t xml:space="preserve">, CEO of the Finnish start-up Grail Group Ltd, the programme helped his team to expand the network of contacts. </w:t>
      </w:r>
      <w:r>
        <w:rPr>
          <w:lang w:val="en-GB"/>
        </w:rPr>
        <w:t>He</w:t>
      </w:r>
      <w:r w:rsidRPr="00406E83">
        <w:rPr>
          <w:lang w:val="en-GB"/>
        </w:rPr>
        <w:t xml:space="preserve"> says that the most valuable thing for him was international mentors giving him the courage to change his idea and urging him to make a true effort to realise his dream.</w:t>
      </w:r>
    </w:p>
    <w:p w:rsidR="009B0D4E" w:rsidRPr="00406E83" w:rsidRDefault="009B0D4E" w:rsidP="009B0D4E">
      <w:pPr>
        <w:spacing w:line="252" w:lineRule="auto"/>
        <w:rPr>
          <w:lang w:val="en-GB"/>
        </w:rPr>
      </w:pPr>
      <w:r w:rsidRPr="00406E83">
        <w:rPr>
          <w:lang w:val="en-GB"/>
        </w:rPr>
        <w:t xml:space="preserve">For early-stage companies, the programme offered help in finding the right B2B contacts. </w:t>
      </w:r>
    </w:p>
    <w:p w:rsidR="009B0D4E" w:rsidRPr="00406E83" w:rsidRDefault="009B0D4E" w:rsidP="009B0D4E">
      <w:pPr>
        <w:spacing w:line="252" w:lineRule="auto"/>
        <w:rPr>
          <w:lang w:val="en-GB"/>
        </w:rPr>
      </w:pPr>
      <w:r w:rsidRPr="00406E83">
        <w:rPr>
          <w:lang w:val="en-GB"/>
        </w:rPr>
        <w:t xml:space="preserve">“It was particularly great to see how the teams collaborated to help each other. One team had more know-how in programming, another in communications and marketing. There were even teams that recruited a new member from a team that did not take off this time”, </w:t>
      </w:r>
      <w:r w:rsidRPr="009B0D4E">
        <w:rPr>
          <w:lang w:val="en-GB"/>
        </w:rPr>
        <w:t>Johanna Puhtila points out.</w:t>
      </w:r>
    </w:p>
    <w:p w:rsidR="009B0D4E" w:rsidRPr="00406E83" w:rsidRDefault="009B0D4E" w:rsidP="009B0D4E">
      <w:pPr>
        <w:spacing w:line="252" w:lineRule="auto"/>
        <w:rPr>
          <w:lang w:val="en-GB"/>
        </w:rPr>
      </w:pPr>
    </w:p>
    <w:p w:rsidR="009B0D4E" w:rsidRPr="00406E83" w:rsidRDefault="009B0D4E" w:rsidP="009B0D4E">
      <w:pPr>
        <w:spacing w:line="252" w:lineRule="auto"/>
        <w:rPr>
          <w:b/>
          <w:lang w:val="en-GB"/>
        </w:rPr>
      </w:pPr>
      <w:r w:rsidRPr="00406E83">
        <w:rPr>
          <w:b/>
          <w:lang w:val="en-GB"/>
        </w:rPr>
        <w:t>FACTS AND FIGURES:</w:t>
      </w:r>
    </w:p>
    <w:p w:rsidR="009B0D4E" w:rsidRPr="00406E83" w:rsidRDefault="009B0D4E" w:rsidP="009B0D4E">
      <w:pPr>
        <w:pStyle w:val="ListParagraph"/>
        <w:numPr>
          <w:ilvl w:val="0"/>
          <w:numId w:val="1"/>
        </w:numPr>
        <w:spacing w:line="252" w:lineRule="auto"/>
        <w:rPr>
          <w:lang w:val="en-GB"/>
        </w:rPr>
      </w:pPr>
      <w:r w:rsidRPr="00406E83">
        <w:rPr>
          <w:lang w:val="en-GB"/>
        </w:rPr>
        <w:t>Project started in November 2015</w:t>
      </w:r>
    </w:p>
    <w:p w:rsidR="009B0D4E" w:rsidRPr="00406E83" w:rsidRDefault="009B0D4E" w:rsidP="009B0D4E">
      <w:pPr>
        <w:pStyle w:val="ListParagraph"/>
        <w:numPr>
          <w:ilvl w:val="0"/>
          <w:numId w:val="1"/>
        </w:numPr>
        <w:spacing w:line="252" w:lineRule="auto"/>
        <w:rPr>
          <w:lang w:val="en-GB"/>
        </w:rPr>
      </w:pPr>
      <w:r w:rsidRPr="00406E83">
        <w:rPr>
          <w:lang w:val="en-GB"/>
        </w:rPr>
        <w:t>Three joint accelerator programmes in Riga, Tallinn and Turku with a total of</w:t>
      </w:r>
    </w:p>
    <w:p w:rsidR="009B0D4E" w:rsidRPr="00406E83" w:rsidRDefault="009B0D4E" w:rsidP="009B0D4E">
      <w:pPr>
        <w:pStyle w:val="ListParagraph"/>
        <w:numPr>
          <w:ilvl w:val="1"/>
          <w:numId w:val="1"/>
        </w:numPr>
        <w:spacing w:line="252" w:lineRule="auto"/>
        <w:rPr>
          <w:lang w:val="en-GB"/>
        </w:rPr>
      </w:pPr>
      <w:r w:rsidRPr="00406E83">
        <w:rPr>
          <w:lang w:val="en-GB"/>
        </w:rPr>
        <w:t xml:space="preserve">81 start-up teams/companies (goal 45–90) </w:t>
      </w:r>
    </w:p>
    <w:p w:rsidR="009B0D4E" w:rsidRPr="00406E83" w:rsidRDefault="009B0D4E" w:rsidP="009B0D4E">
      <w:pPr>
        <w:pStyle w:val="ListParagraph"/>
        <w:numPr>
          <w:ilvl w:val="1"/>
          <w:numId w:val="1"/>
        </w:numPr>
        <w:spacing w:line="252" w:lineRule="auto"/>
        <w:rPr>
          <w:rFonts w:cstheme="minorHAnsi"/>
          <w:lang w:val="en-GB"/>
        </w:rPr>
      </w:pPr>
      <w:r w:rsidRPr="00406E83">
        <w:rPr>
          <w:lang w:val="en-GB"/>
        </w:rPr>
        <w:t xml:space="preserve">179 team </w:t>
      </w:r>
      <w:r w:rsidRPr="00406E83">
        <w:rPr>
          <w:rFonts w:cstheme="minorHAnsi"/>
          <w:lang w:val="en-GB"/>
        </w:rPr>
        <w:t>members (goal 150)</w:t>
      </w:r>
    </w:p>
    <w:p w:rsidR="009B0D4E" w:rsidRPr="00406E83" w:rsidRDefault="009B0D4E" w:rsidP="009B0D4E">
      <w:pPr>
        <w:pStyle w:val="ListParagraph"/>
        <w:numPr>
          <w:ilvl w:val="1"/>
          <w:numId w:val="1"/>
        </w:numPr>
        <w:spacing w:line="252" w:lineRule="auto"/>
        <w:rPr>
          <w:rFonts w:cstheme="minorHAnsi"/>
          <w:lang w:val="en-GB"/>
        </w:rPr>
      </w:pPr>
      <w:r w:rsidRPr="00406E83">
        <w:rPr>
          <w:rFonts w:cstheme="minorHAnsi"/>
          <w:lang w:val="en-GB"/>
        </w:rPr>
        <w:t>18 registered co-operative companies (goal 15)</w:t>
      </w:r>
    </w:p>
    <w:p w:rsidR="009B0D4E" w:rsidRPr="00406E83" w:rsidRDefault="009B0D4E" w:rsidP="009B0D4E">
      <w:pPr>
        <w:pStyle w:val="ListParagraph"/>
        <w:numPr>
          <w:ilvl w:val="1"/>
          <w:numId w:val="1"/>
        </w:numPr>
        <w:spacing w:line="252" w:lineRule="auto"/>
        <w:rPr>
          <w:rFonts w:cstheme="minorHAnsi"/>
          <w:lang w:val="en-GB"/>
        </w:rPr>
      </w:pPr>
      <w:r w:rsidRPr="00406E83">
        <w:rPr>
          <w:rFonts w:cstheme="minorHAnsi"/>
          <w:lang w:val="en-GB"/>
        </w:rPr>
        <w:t xml:space="preserve">of which 4 joint companies (goal 2–4) </w:t>
      </w:r>
    </w:p>
    <w:p w:rsidR="009B0D4E" w:rsidRPr="00406E83" w:rsidRDefault="009B0D4E" w:rsidP="009B0D4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GB" w:eastAsia="fi-FI"/>
        </w:rPr>
      </w:pPr>
      <w:r w:rsidRPr="00406E83">
        <w:rPr>
          <w:rStyle w:val="Strong"/>
          <w:lang w:val="en-GB"/>
        </w:rPr>
        <w:t>Funded by</w:t>
      </w:r>
      <w:r w:rsidRPr="00406E83">
        <w:rPr>
          <w:lang w:val="en-GB"/>
        </w:rPr>
        <w:t xml:space="preserve"> the Central Baltic Programme 2014–2020</w:t>
      </w:r>
      <w:r w:rsidRPr="00406E83">
        <w:rPr>
          <w:rFonts w:cstheme="minorHAnsi"/>
          <w:lang w:val="en-GB"/>
        </w:rPr>
        <w:t xml:space="preserve"> </w:t>
      </w:r>
    </w:p>
    <w:p w:rsidR="009B0D4E" w:rsidRPr="00406E83" w:rsidRDefault="009B0D4E" w:rsidP="009B0D4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GB" w:eastAsia="fi-FI"/>
        </w:rPr>
      </w:pPr>
      <w:r w:rsidRPr="00406E83">
        <w:rPr>
          <w:rFonts w:cstheme="minorHAnsi"/>
          <w:lang w:val="en-GB"/>
        </w:rPr>
        <w:lastRenderedPageBreak/>
        <w:t>Partners</w:t>
      </w:r>
    </w:p>
    <w:p w:rsidR="009B0D4E" w:rsidRPr="00406E83" w:rsidRDefault="009B0D4E" w:rsidP="009B0D4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GB" w:eastAsia="fi-FI"/>
        </w:rPr>
      </w:pPr>
      <w:r w:rsidRPr="00406E83">
        <w:rPr>
          <w:rFonts w:cstheme="minorHAnsi"/>
          <w:lang w:val="en-GB"/>
        </w:rPr>
        <w:t xml:space="preserve">Turku: </w:t>
      </w:r>
      <w:hyperlink r:id="rId5" w:history="1">
        <w:r w:rsidRPr="00406E83">
          <w:rPr>
            <w:rFonts w:eastAsia="Times New Roman" w:cstheme="minorHAnsi"/>
            <w:color w:val="0000FF"/>
            <w:u w:val="single"/>
            <w:lang w:val="en-GB" w:eastAsia="fi-FI"/>
          </w:rPr>
          <w:t>University of Turku</w:t>
        </w:r>
      </w:hyperlink>
      <w:r w:rsidRPr="00406E83">
        <w:rPr>
          <w:rFonts w:eastAsia="Times New Roman" w:cstheme="minorHAnsi"/>
          <w:lang w:val="en-GB" w:eastAsia="fi-FI"/>
        </w:rPr>
        <w:t xml:space="preserve"> and </w:t>
      </w:r>
      <w:hyperlink r:id="rId6" w:history="1">
        <w:r w:rsidRPr="00406E83">
          <w:rPr>
            <w:rFonts w:eastAsia="Times New Roman" w:cstheme="minorHAnsi"/>
            <w:color w:val="0000FF"/>
            <w:u w:val="single"/>
            <w:lang w:val="en-GB" w:eastAsia="fi-FI"/>
          </w:rPr>
          <w:t>Turku Science Park Ltd</w:t>
        </w:r>
      </w:hyperlink>
    </w:p>
    <w:p w:rsidR="009B0D4E" w:rsidRPr="00406E83" w:rsidRDefault="009B0D4E" w:rsidP="009B0D4E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GB" w:eastAsia="fi-FI"/>
        </w:rPr>
      </w:pPr>
      <w:r w:rsidRPr="00406E83">
        <w:rPr>
          <w:rFonts w:eastAsia="Times New Roman" w:cstheme="minorHAnsi"/>
          <w:lang w:val="en-GB" w:eastAsia="fi-FI"/>
        </w:rPr>
        <w:t xml:space="preserve">Tallinn: </w:t>
      </w:r>
      <w:hyperlink r:id="rId7" w:history="1">
        <w:r w:rsidRPr="00406E83">
          <w:rPr>
            <w:rFonts w:eastAsia="Times New Roman" w:cstheme="minorHAnsi"/>
            <w:color w:val="0000FF"/>
            <w:u w:val="single"/>
            <w:lang w:val="en-GB" w:eastAsia="fi-FI"/>
          </w:rPr>
          <w:t>Tallinn University of Technology</w:t>
        </w:r>
      </w:hyperlink>
      <w:r w:rsidRPr="00406E83">
        <w:rPr>
          <w:rFonts w:eastAsia="Times New Roman" w:cstheme="minorHAnsi"/>
          <w:lang w:val="en-GB" w:eastAsia="fi-FI"/>
        </w:rPr>
        <w:t xml:space="preserve"> and </w:t>
      </w:r>
      <w:hyperlink r:id="rId8" w:history="1">
        <w:r w:rsidRPr="00406E83">
          <w:rPr>
            <w:rFonts w:eastAsia="Times New Roman" w:cstheme="minorHAnsi"/>
            <w:color w:val="0000FF"/>
            <w:u w:val="single"/>
            <w:lang w:val="en-GB" w:eastAsia="fi-FI"/>
          </w:rPr>
          <w:t xml:space="preserve">Tallinn Science Park </w:t>
        </w:r>
        <w:proofErr w:type="spellStart"/>
        <w:r w:rsidRPr="00406E83">
          <w:rPr>
            <w:rFonts w:eastAsia="Times New Roman" w:cstheme="minorHAnsi"/>
            <w:color w:val="0000FF"/>
            <w:u w:val="single"/>
            <w:lang w:val="en-GB" w:eastAsia="fi-FI"/>
          </w:rPr>
          <w:t>Tehnopol</w:t>
        </w:r>
        <w:proofErr w:type="spellEnd"/>
      </w:hyperlink>
    </w:p>
    <w:p w:rsidR="009B0D4E" w:rsidRPr="00406E83" w:rsidRDefault="009B0D4E" w:rsidP="009B0D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GB" w:eastAsia="fi-FI"/>
        </w:rPr>
      </w:pPr>
      <w:r w:rsidRPr="00406E83">
        <w:rPr>
          <w:rFonts w:eastAsia="Times New Roman" w:cstheme="minorHAnsi"/>
          <w:lang w:val="en-GB" w:eastAsia="fi-FI"/>
        </w:rPr>
        <w:t xml:space="preserve">Riga: </w:t>
      </w:r>
      <w:hyperlink r:id="rId9" w:history="1">
        <w:r w:rsidRPr="00406E83">
          <w:rPr>
            <w:rFonts w:eastAsia="Times New Roman" w:cstheme="minorHAnsi"/>
            <w:color w:val="0000FF"/>
            <w:u w:val="single"/>
            <w:lang w:val="en-GB" w:eastAsia="fi-FI"/>
          </w:rPr>
          <w:t>Riga Technical University</w:t>
        </w:r>
      </w:hyperlink>
      <w:r w:rsidRPr="00406E83">
        <w:rPr>
          <w:rFonts w:eastAsia="Times New Roman" w:cstheme="minorHAnsi"/>
          <w:lang w:val="en-GB" w:eastAsia="fi-FI"/>
        </w:rPr>
        <w:t xml:space="preserve"> and </w:t>
      </w:r>
      <w:r w:rsidRPr="00406E83">
        <w:rPr>
          <w:rFonts w:eastAsia="Times New Roman" w:cstheme="minorHAnsi"/>
          <w:color w:val="0000FF"/>
          <w:u w:val="single"/>
          <w:lang w:val="en-GB" w:eastAsia="fi-FI"/>
        </w:rPr>
        <w:t>Latvia Technology Park</w:t>
      </w:r>
    </w:p>
    <w:p w:rsidR="00FE42C3" w:rsidRDefault="00FE42C3"/>
    <w:sectPr w:rsidR="00FE42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7645"/>
    <w:multiLevelType w:val="hybridMultilevel"/>
    <w:tmpl w:val="81DAFAAA"/>
    <w:lvl w:ilvl="0" w:tplc="E9EE02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GB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4E"/>
    <w:rsid w:val="009B0D4E"/>
    <w:rsid w:val="00F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223103-754C-49A1-895A-D240BE04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D4E"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D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0D4E"/>
    <w:rPr>
      <w:b/>
      <w:bCs/>
    </w:rPr>
  </w:style>
  <w:style w:type="character" w:styleId="Hyperlink">
    <w:name w:val="Hyperlink"/>
    <w:basedOn w:val="DefaultParagraphFont"/>
    <w:uiPriority w:val="99"/>
    <w:unhideWhenUsed/>
    <w:rsid w:val="009B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nopol.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tu.ee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kusciencepark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tu.f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u.lv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Čakša-Lapsiņa</dc:creator>
  <cp:keywords/>
  <dc:description/>
  <cp:lastModifiedBy>Arta Čakša-Lapsiņa</cp:lastModifiedBy>
  <cp:revision>1</cp:revision>
  <dcterms:created xsi:type="dcterms:W3CDTF">2017-11-07T13:23:00Z</dcterms:created>
  <dcterms:modified xsi:type="dcterms:W3CDTF">2017-11-07T13:48:00Z</dcterms:modified>
</cp:coreProperties>
</file>